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  ORDENANZA Nº 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EL CONCEJO DELIBERANTE DE LA MUNICIPALIDAD DE VICTORIA,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PROVINCIA DE ENTRE RÍOS, SANCIONA LA SIGUIENTE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A N Z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ARTICULO 1º):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Modifíquese el valor de la Unidad de Cuenta Municipal a que refiere el Capítulo Preliminar de la Ordenanza Nº 2.476 (incorporado por la Ordenanza Nº 4.141 Articulo 1º)  como seguidamente se indica: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suma de pesos sesenta y nueve con 01/100 ($ 69,01) a partir del 01 de Enero del 2.023 y hasta el 28  de Febrero del 2.023.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suma de pesos ochenta y dos con 81/100 ($ 82,81) a partir de 01 de Marzo del 2.023 y hasta 31 de Mayo del 2.023.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la suma de pesos noventa y nueve con 37/100 ($ 99,37) a partir de 01 de Junio del 2.023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ahoma" w:cs="Tahoma" w:eastAsia="Tahoma" w:hAnsi="Tahoma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TASA POR SERVICIOS SANITARIOS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ahoma" w:cs="Tahoma" w:eastAsia="Tahoma" w:hAnsi="Tahoma"/>
          <w:i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u w:val="single"/>
          <w:vertAlign w:val="baseline"/>
          <w:rtl w:val="0"/>
        </w:rPr>
        <w:t xml:space="preserve">ARTÍCULO 2º):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highlight w:val="white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vertAlign w:val="baseline"/>
          <w:rtl w:val="0"/>
        </w:rPr>
        <w:t xml:space="preserve">Sustitúyase el Artículo 2º de la Ordenanza Nº 4.141  por el siguiente:  “Artículo 2º): A los fines del pago de la Tasa por Servicios Sanitarios, tanto para aquellos determinados mediante tasa fija como por consumo medido, se establece como contraprestación a cargo del contribuyente/responsable, una tasa mensual mínima para agua de pesos  un mil doscientos sesenta y seis con 84/100 ($ 1.266,84 ), para cloaca de pesos trescientos ochenta con 05/100 ($ 380,05) y para agua y cloaca de pesos un mil seiscientos cuarenta y seis con 89/100  ($ 1.646,89) a partir del 01 de Enero del 2.023 hasta el 28 de Febrero del 2.023; una tasa mensual mínima para agua de pesos un mil cuatrocientos setenta y siete con 98/100 ($ 1.477,98), para cloaca de pesos cuatrocientos cuarenta y tres con 40/100 ($ 443,40) y para agua y cloaca de pesos un mil novecientos veintiuno con 38/100 ($ 1.921,38) a partir del 01 de Marzo del  2.023 hasta el 31 de Mayo del 2.023;  una tasa mensual mínima para agua de pesos  un mil seiscientos ochenta y nueve con 12/100 ($  1.689,12), para cloaca de pesos quinientos seis con 73/100 ($ 506,73) y para agua y cloaca de pesos dos mil ciento noventa y cinco con 85/100 ($ 2.195,85) a partir del 01 de Junio del 2.023. Ello sin perjuicio de la aplicación de otros mínimos y/o alícuotas que pudieran resultar del presente capítulo”.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ahoma" w:cs="Tahoma" w:eastAsia="Tahoma" w:hAnsi="Tahoma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ARTICULO 3º):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2"/>
          <w:szCs w:val="22"/>
          <w:highlight w:val="white"/>
          <w:vertAlign w:val="baseline"/>
          <w:rtl w:val="0"/>
        </w:rPr>
        <w:t xml:space="preserve">Sustitúyase el Artículo 3º) de la Ordenanza Nº 4.141 por el siguiente: “Artículo 3º: La Tasa fija por Servicios Sanitarios para el presente ejercicio se calculará computando un ajuste del sesenta por ciento (60%)  escalonado según lo establecido en el Articulo 2º) de la vigente; sobre la implantada y liquidada según Ordenanza Nº 4.141 para el año 2.022”.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ARTICULO 4º):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Sustitúyase el artículo 7º) de la Ordenanza Nº 4.000  por el siguiente:  Artículo 7º) - Facúltese al Departamento Ejecutivo o funcionario que este invista, para designar Agente de Retención  y/ o Percepción a los responsables de las instalaciones de amarre.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u w:val="single"/>
          <w:vertAlign w:val="baseline"/>
          <w:rtl w:val="0"/>
        </w:rPr>
        <w:t xml:space="preserve">ARTICULO 5º):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Sustitúyase Articulo 6º) de la Ordenanza Nº 4.000  y  Artículo 11º de la Ordenanza  Nº 4084  por el siguiente: “A los fines de lo dispuesto en el Título XII  de la Ordenanza Tributaria -Parte Especial-, se establecen los siguientes derechos:</w:t>
      </w:r>
    </w:p>
    <w:tbl>
      <w:tblPr>
        <w:tblStyle w:val="Table1"/>
        <w:tblW w:w="864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2"/>
        <w:gridCol w:w="1493"/>
        <w:tblGridChange w:id="0">
          <w:tblGrid>
            <w:gridCol w:w="7152"/>
            <w:gridCol w:w="14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La reparación de roturas ocasionadas en pavimento con motivo de la realización de trabajos particulares por 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100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La reparación de roturas ocasionadas en carpeta asfáltica con motivo de la realización de trabajos particulares por 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50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La reparación de roturas ocasionadas en macadán asfáltica con motivo de la realización de trabajos particulares por 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50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La reparación de roturas ocasionadas en calles de tierras con motivo de la realización de trabajos particulares por 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La reparación de roturas ocasionadas en calzadas con motivo de la realización de trabajos particulares por m2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Tasa por Uso de corrales y bretes por carga y descarga de animales por unidad con excepción del ternero mamón, y en cualquier época del 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 u.c.m.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Tasa por derecho de uso de bretes, hasta 30 animales por día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70  u.c.m.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Tasa por derecho de uso de bretes, por mas de 30 animales por día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120 u.c.m.</w:t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Tasa por servicios no contemplados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45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ahoma" w:cs="Tahoma" w:eastAsia="Tahoma" w:hAnsi="Tahoma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2"/>
                <w:szCs w:val="22"/>
                <w:vertAlign w:val="baseline"/>
                <w:rtl w:val="0"/>
              </w:rPr>
              <w:t xml:space="preserve">Por derecho de uso mensual de amarre y muelles para embarcaciones 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hasta 20 pasajeros por 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30 u.cm.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de 21 a 40 pasajeros por 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60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mas de 40 pasajeros por 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110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Transporte de cargas en general con capacidad superior a 1000 kg.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100 u.c.m.diarias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Por derecho de uso de amarre y muelle por persona desembarcada dentro del ejido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1 u.c.m.diaria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Playas de camiones por vehículo y por día (carga y descarga)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7 u.c.m.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Transporte de embarcaciones de carga que realizan viajes internacionales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200 u.c.m diarias.</w:t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ahoma" w:cs="Tahoma" w:eastAsia="Tahoma" w:hAnsi="Tahoma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ARTICULO 6º):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baseline"/>
          <w:rtl w:val="0"/>
        </w:rPr>
        <w:t xml:space="preserve">Las disposiciones de las Ordenanzas 2476 – 2737 - 2925 – 2995 -3005 – 3097 – 3149 – 3190 – 3194 – 3209 – 3214 – 3308 – 3382 – 3355 – 3362 – 3399 -3556 – 3573 – 3746 – 3831 – 3904 - 3954 -4000- 4084 - 4.118-4.141 mantendrán su plena vigencia en tanto no hubieran sido reemplazadas y/o modificadas por la presente.-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ARTICULO 7º):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baseline"/>
          <w:rtl w:val="0"/>
        </w:rPr>
        <w:t xml:space="preserve">Dispónese la vigencia de la presente a partir de su promulgación por el Departamento Ejecutivo.</w:t>
      </w:r>
    </w:p>
    <w:p w:rsidR="00000000" w:rsidDel="00000000" w:rsidP="00000000" w:rsidRDefault="00000000" w:rsidRPr="00000000" w14:paraId="00000036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ARTICULO  8º):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baseline"/>
          <w:rtl w:val="0"/>
        </w:rPr>
        <w:t xml:space="preserve">Comuníquese.</w:t>
      </w:r>
    </w:p>
    <w:p w:rsidR="00000000" w:rsidDel="00000000" w:rsidP="00000000" w:rsidRDefault="00000000" w:rsidRPr="00000000" w14:paraId="00000038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2"/>
          <w:szCs w:val="22"/>
          <w:vertAlign w:val="baseline"/>
          <w:rtl w:val="0"/>
        </w:rPr>
        <w:t xml:space="preserve">SALA DE SESIONES</w:t>
      </w: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vertAlign w:val="baseline"/>
          <w:rtl w:val="0"/>
        </w:rPr>
        <w:t xml:space="preserve">, Victoria (Entre Ríos), ……………………………………… de 2.022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Tahoma" w:cs="Tahoma" w:eastAsia="Tahoma" w:hAnsi="Tahoma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20163" w:w="12242" w:orient="portrait"/>
      <w:pgMar w:bottom="1701" w:top="2268" w:left="2268" w:right="124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mo"/>
  <w:font w:name="Georgia"/>
  <w:font w:name="Tahom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32"/>
        <w:szCs w:val="3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